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BBCB5" w14:textId="0E76A52A" w:rsidR="00A54AB3" w:rsidRPr="00FD506F" w:rsidRDefault="00FD506F" w:rsidP="00C73686">
      <w:pPr>
        <w:bidi/>
        <w:rPr>
          <w:rFonts w:ascii="Calibri" w:hAnsi="Calibri" w:cs="Calibri" w:hint="cs"/>
          <w:sz w:val="28"/>
          <w:szCs w:val="28"/>
          <w:rtl/>
          <w:lang w:bidi="ar-OM"/>
        </w:rPr>
      </w:pPr>
      <w:r w:rsidRPr="00FD506F">
        <w:rPr>
          <w:rFonts w:ascii="Noto Naskh Arabic UI" w:hAnsi="Noto Naskh Arabic UI" w:cs="Noto Naskh Arabic UI"/>
          <w:sz w:val="28"/>
          <w:szCs w:val="28"/>
          <w:rtl/>
        </w:rPr>
        <w:t>بەشی ئەندازیاری شارستانی پێویستی بە یاریدەدەری توێژەر</w:t>
      </w:r>
      <w:r>
        <w:rPr>
          <w:rFonts w:ascii="Noto Naskh Arabic UI" w:hAnsi="Noto Naskh Arabic UI" w:cs="Noto Naskh Arabic UI"/>
          <w:sz w:val="28"/>
          <w:szCs w:val="28"/>
        </w:rPr>
        <w:t xml:space="preserve"> </w:t>
      </w:r>
      <w:r>
        <w:rPr>
          <w:rFonts w:ascii="Calibri" w:hAnsi="Calibri" w:cs="Calibri" w:hint="cs"/>
          <w:sz w:val="28"/>
          <w:szCs w:val="28"/>
          <w:rtl/>
          <w:lang w:bidi="ar-OM"/>
        </w:rPr>
        <w:t xml:space="preserve"> هەیە</w:t>
      </w:r>
    </w:p>
    <w:p w14:paraId="52767D0D" w14:textId="77777777" w:rsidR="00FD506F" w:rsidRDefault="00FD506F" w:rsidP="00894BF9">
      <w:pPr>
        <w:bidi/>
        <w:rPr>
          <w:rFonts w:ascii="Noto Naskh Arabic UI" w:hAnsi="Noto Naskh Arabic UI" w:cs="Noto Naskh Arabic UI"/>
          <w:sz w:val="28"/>
          <w:szCs w:val="28"/>
          <w:rtl/>
        </w:rPr>
      </w:pPr>
    </w:p>
    <w:p w14:paraId="35F9716A" w14:textId="17A9CE7A" w:rsidR="00C73686" w:rsidRPr="00FD506F" w:rsidRDefault="00C73686" w:rsidP="00FD506F">
      <w:pPr>
        <w:bidi/>
        <w:rPr>
          <w:rFonts w:ascii="Noto Naskh Arabic UI" w:hAnsi="Noto Naskh Arabic UI" w:cs="Noto Naskh Arabic UI"/>
          <w:sz w:val="28"/>
          <w:szCs w:val="28"/>
          <w:rtl/>
        </w:rPr>
      </w:pPr>
      <w:r w:rsidRPr="00FD506F">
        <w:rPr>
          <w:rFonts w:ascii="Noto Naskh Arabic UI" w:hAnsi="Noto Naskh Arabic UI" w:cs="Noto Naskh Arabic UI"/>
          <w:sz w:val="28"/>
          <w:szCs w:val="28"/>
          <w:rtl/>
        </w:rPr>
        <w:t xml:space="preserve">بەشی ئەندازیاری شارستانی </w:t>
      </w:r>
      <w:r w:rsidR="00FD506F">
        <w:rPr>
          <w:rFonts w:ascii="Noto Naskh Arabic UI" w:hAnsi="Noto Naskh Arabic UI" w:cs="Noto Naskh Arabic UI" w:hint="cs"/>
          <w:sz w:val="28"/>
          <w:szCs w:val="28"/>
          <w:rtl/>
        </w:rPr>
        <w:t xml:space="preserve">لەزانكۆی راپەڕین، </w:t>
      </w:r>
      <w:r w:rsidRPr="00FD506F">
        <w:rPr>
          <w:rFonts w:ascii="Noto Naskh Arabic UI" w:hAnsi="Noto Naskh Arabic UI" w:cs="Noto Naskh Arabic UI"/>
          <w:sz w:val="28"/>
          <w:szCs w:val="28"/>
          <w:rtl/>
        </w:rPr>
        <w:t xml:space="preserve">پێویستی بە </w:t>
      </w:r>
      <w:r w:rsidR="00894BF9" w:rsidRPr="00FD506F">
        <w:rPr>
          <w:rFonts w:ascii="Noto Naskh Arabic UI" w:hAnsi="Noto Naskh Arabic UI" w:cs="Noto Naskh Arabic UI"/>
          <w:sz w:val="28"/>
          <w:szCs w:val="28"/>
          <w:rtl/>
        </w:rPr>
        <w:t>یاریدەدەری توێژەر (معید)</w:t>
      </w:r>
      <w:r w:rsidR="00FD506F">
        <w:rPr>
          <w:rFonts w:ascii="Noto Naskh Arabic UI" w:hAnsi="Noto Naskh Arabic UI" w:cs="Noto Naskh Arabic UI" w:hint="cs"/>
          <w:sz w:val="28"/>
          <w:szCs w:val="28"/>
          <w:rtl/>
        </w:rPr>
        <w:t xml:space="preserve"> بەشێوەی</w:t>
      </w:r>
      <w:r w:rsidR="000E0FFC" w:rsidRPr="00FD506F">
        <w:rPr>
          <w:rFonts w:ascii="Noto Naskh Arabic UI" w:hAnsi="Noto Naskh Arabic UI" w:cs="Noto Naskh Arabic UI"/>
          <w:sz w:val="28"/>
          <w:szCs w:val="28"/>
          <w:rtl/>
        </w:rPr>
        <w:t xml:space="preserve"> وانەبێژ و سەردان هەیە بۆ ساڵی خوێندنی ٢٠٢٠-٢٠٢١</w:t>
      </w:r>
      <w:r w:rsidRPr="00FD506F">
        <w:rPr>
          <w:rFonts w:ascii="Noto Naskh Arabic UI" w:hAnsi="Noto Naskh Arabic UI" w:cs="Noto Naskh Arabic UI"/>
          <w:sz w:val="28"/>
          <w:szCs w:val="28"/>
          <w:rtl/>
        </w:rPr>
        <w:t>، بۆ ئەم وانانەی خوارەوە</w:t>
      </w:r>
      <w:r w:rsidRPr="00FD506F">
        <w:rPr>
          <w:rFonts w:ascii="Noto Naskh Arabic UI" w:hAnsi="Noto Naskh Arabic UI" w:cs="Noto Naskh Arabic UI"/>
          <w:sz w:val="28"/>
          <w:szCs w:val="28"/>
        </w:rPr>
        <w:t xml:space="preserve"> :</w:t>
      </w:r>
    </w:p>
    <w:tbl>
      <w:tblPr>
        <w:tblStyle w:val="TableGrid"/>
        <w:bidiVisual/>
        <w:tblW w:w="8564" w:type="dxa"/>
        <w:tblLook w:val="04A0" w:firstRow="1" w:lastRow="0" w:firstColumn="1" w:lastColumn="0" w:noHBand="0" w:noVBand="1"/>
      </w:tblPr>
      <w:tblGrid>
        <w:gridCol w:w="1386"/>
        <w:gridCol w:w="1949"/>
        <w:gridCol w:w="1081"/>
        <w:gridCol w:w="3573"/>
        <w:gridCol w:w="575"/>
      </w:tblGrid>
      <w:tr w:rsidR="00633B55" w:rsidRPr="00FD506F" w14:paraId="0A9F9010" w14:textId="77777777" w:rsidTr="00FA6D19">
        <w:trPr>
          <w:trHeight w:val="454"/>
        </w:trPr>
        <w:tc>
          <w:tcPr>
            <w:tcW w:w="1152" w:type="dxa"/>
            <w:vAlign w:val="center"/>
          </w:tcPr>
          <w:p w14:paraId="3D80BE68" w14:textId="77777777" w:rsidR="00633B55" w:rsidRPr="00FD506F" w:rsidRDefault="00633B55" w:rsidP="00633B55">
            <w:pPr>
              <w:rPr>
                <w:rFonts w:ascii="Noto Naskh Arabic UI" w:hAnsi="Noto Naskh Arabic UI" w:cs="Noto Naskh Arabic UI"/>
                <w:b/>
                <w:bCs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b/>
                <w:bCs/>
                <w:sz w:val="30"/>
                <w:szCs w:val="30"/>
              </w:rPr>
              <w:t>Semester</w:t>
            </w:r>
          </w:p>
        </w:tc>
        <w:tc>
          <w:tcPr>
            <w:tcW w:w="1971" w:type="dxa"/>
            <w:vAlign w:val="center"/>
          </w:tcPr>
          <w:p w14:paraId="0F157FE4" w14:textId="77777777" w:rsidR="00633B55" w:rsidRPr="00FD506F" w:rsidRDefault="00633B55" w:rsidP="00633B55">
            <w:pPr>
              <w:rPr>
                <w:rFonts w:ascii="Noto Naskh Arabic UI" w:hAnsi="Noto Naskh Arabic UI" w:cs="Noto Naskh Arabic UI"/>
                <w:b/>
                <w:bCs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b/>
                <w:bCs/>
                <w:sz w:val="30"/>
                <w:szCs w:val="30"/>
              </w:rPr>
              <w:t>Hours/week</w:t>
            </w:r>
          </w:p>
        </w:tc>
        <w:tc>
          <w:tcPr>
            <w:tcW w:w="1114" w:type="dxa"/>
            <w:vAlign w:val="center"/>
          </w:tcPr>
          <w:p w14:paraId="46D7F4B7" w14:textId="77777777" w:rsidR="00633B55" w:rsidRPr="00FD506F" w:rsidRDefault="00633B55" w:rsidP="00633B55">
            <w:pPr>
              <w:rPr>
                <w:rFonts w:ascii="Noto Naskh Arabic UI" w:hAnsi="Noto Naskh Arabic UI" w:cs="Noto Naskh Arabic UI"/>
                <w:b/>
                <w:bCs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b/>
                <w:bCs/>
                <w:sz w:val="30"/>
                <w:szCs w:val="30"/>
              </w:rPr>
              <w:t>Year</w:t>
            </w:r>
          </w:p>
        </w:tc>
        <w:tc>
          <w:tcPr>
            <w:tcW w:w="3769" w:type="dxa"/>
            <w:vAlign w:val="center"/>
          </w:tcPr>
          <w:p w14:paraId="65D3F4BC" w14:textId="77777777" w:rsidR="00633B55" w:rsidRPr="00FD506F" w:rsidRDefault="00633B55" w:rsidP="00633B55">
            <w:pPr>
              <w:rPr>
                <w:rFonts w:ascii="Noto Naskh Arabic UI" w:hAnsi="Noto Naskh Arabic UI" w:cs="Noto Naskh Arabic UI"/>
                <w:b/>
                <w:bCs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b/>
                <w:bCs/>
                <w:sz w:val="30"/>
                <w:szCs w:val="30"/>
              </w:rPr>
              <w:t>Subjects</w:t>
            </w:r>
          </w:p>
        </w:tc>
        <w:tc>
          <w:tcPr>
            <w:tcW w:w="558" w:type="dxa"/>
            <w:vAlign w:val="center"/>
          </w:tcPr>
          <w:p w14:paraId="0F60AB7D" w14:textId="77777777" w:rsidR="00633B55" w:rsidRPr="00FD506F" w:rsidRDefault="00633B55" w:rsidP="00633B55">
            <w:pPr>
              <w:rPr>
                <w:rFonts w:ascii="Noto Naskh Arabic UI" w:hAnsi="Noto Naskh Arabic UI" w:cs="Noto Naskh Arabic UI"/>
                <w:b/>
                <w:bCs/>
                <w:sz w:val="30"/>
                <w:szCs w:val="30"/>
              </w:rPr>
            </w:pPr>
            <w:r w:rsidRPr="00FD506F">
              <w:rPr>
                <w:rFonts w:ascii="Noto Naskh Arabic UI" w:hAnsi="Noto Naskh Arabic UI" w:cs="Noto Naskh Arabic UI"/>
                <w:b/>
                <w:bCs/>
                <w:sz w:val="30"/>
                <w:szCs w:val="30"/>
              </w:rPr>
              <w:t>No</w:t>
            </w:r>
          </w:p>
        </w:tc>
      </w:tr>
      <w:tr w:rsidR="00633B55" w:rsidRPr="00FD506F" w14:paraId="64F917E4" w14:textId="77777777" w:rsidTr="00FA6D19">
        <w:trPr>
          <w:trHeight w:val="454"/>
        </w:trPr>
        <w:tc>
          <w:tcPr>
            <w:tcW w:w="1152" w:type="dxa"/>
            <w:vAlign w:val="center"/>
          </w:tcPr>
          <w:p w14:paraId="26666B63" w14:textId="77777777" w:rsidR="00633B55" w:rsidRPr="00FD506F" w:rsidRDefault="00633B55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1</w:t>
            </w:r>
            <w:r w:rsidR="00FA6D19" w:rsidRPr="00FD506F">
              <w:rPr>
                <w:rFonts w:ascii="Noto Naskh Arabic UI" w:hAnsi="Noto Naskh Arabic UI" w:cs="Noto Naskh Arabic UI"/>
                <w:sz w:val="30"/>
                <w:szCs w:val="30"/>
              </w:rPr>
              <w:t xml:space="preserve"> &amp; 2</w:t>
            </w:r>
          </w:p>
        </w:tc>
        <w:tc>
          <w:tcPr>
            <w:tcW w:w="1971" w:type="dxa"/>
            <w:vAlign w:val="center"/>
          </w:tcPr>
          <w:p w14:paraId="423289EF" w14:textId="77777777" w:rsidR="00633B55" w:rsidRPr="00FD506F" w:rsidRDefault="00FA6D19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4</w:t>
            </w:r>
          </w:p>
        </w:tc>
        <w:tc>
          <w:tcPr>
            <w:tcW w:w="1114" w:type="dxa"/>
            <w:vAlign w:val="center"/>
          </w:tcPr>
          <w:p w14:paraId="27E26EEA" w14:textId="77777777" w:rsidR="00633B55" w:rsidRPr="00FD506F" w:rsidRDefault="00FA6D19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1</w:t>
            </w:r>
          </w:p>
        </w:tc>
        <w:tc>
          <w:tcPr>
            <w:tcW w:w="3769" w:type="dxa"/>
            <w:vAlign w:val="center"/>
          </w:tcPr>
          <w:p w14:paraId="34C5DFB9" w14:textId="77777777" w:rsidR="00633B55" w:rsidRPr="00FD506F" w:rsidRDefault="00FA6D19" w:rsidP="00633B55">
            <w:pPr>
              <w:rPr>
                <w:rFonts w:ascii="Noto Naskh Arabic UI" w:hAnsi="Noto Naskh Arabic UI" w:cs="Noto Naskh Arabic UI"/>
                <w:sz w:val="30"/>
                <w:szCs w:val="30"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Engineering Drawing and Descriptive Geometry</w:t>
            </w:r>
          </w:p>
        </w:tc>
        <w:tc>
          <w:tcPr>
            <w:tcW w:w="558" w:type="dxa"/>
            <w:vAlign w:val="center"/>
          </w:tcPr>
          <w:p w14:paraId="26249872" w14:textId="77777777" w:rsidR="00633B55" w:rsidRPr="00FD506F" w:rsidRDefault="00633B55" w:rsidP="00633B55">
            <w:pPr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1</w:t>
            </w:r>
          </w:p>
        </w:tc>
      </w:tr>
      <w:tr w:rsidR="00633B55" w:rsidRPr="00FD506F" w14:paraId="1933CDEF" w14:textId="77777777" w:rsidTr="00FA6D19">
        <w:trPr>
          <w:trHeight w:val="454"/>
        </w:trPr>
        <w:tc>
          <w:tcPr>
            <w:tcW w:w="1152" w:type="dxa"/>
            <w:vAlign w:val="center"/>
          </w:tcPr>
          <w:p w14:paraId="431674CC" w14:textId="77777777" w:rsidR="00633B55" w:rsidRPr="00FD506F" w:rsidRDefault="00FA6D19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2</w:t>
            </w:r>
          </w:p>
        </w:tc>
        <w:tc>
          <w:tcPr>
            <w:tcW w:w="1971" w:type="dxa"/>
            <w:vAlign w:val="center"/>
          </w:tcPr>
          <w:p w14:paraId="4F8B9053" w14:textId="77777777" w:rsidR="00633B55" w:rsidRPr="00FD506F" w:rsidRDefault="00FA6D19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3</w:t>
            </w:r>
          </w:p>
        </w:tc>
        <w:tc>
          <w:tcPr>
            <w:tcW w:w="1114" w:type="dxa"/>
            <w:vAlign w:val="center"/>
          </w:tcPr>
          <w:p w14:paraId="382C8E4E" w14:textId="77777777" w:rsidR="00633B55" w:rsidRPr="00FD506F" w:rsidRDefault="00FA6D19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1</w:t>
            </w:r>
          </w:p>
        </w:tc>
        <w:tc>
          <w:tcPr>
            <w:tcW w:w="3769" w:type="dxa"/>
            <w:vAlign w:val="center"/>
          </w:tcPr>
          <w:p w14:paraId="205C0B1F" w14:textId="77777777" w:rsidR="00633B55" w:rsidRPr="00FD506F" w:rsidRDefault="00FA6D19" w:rsidP="00633B55">
            <w:pPr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Engineering Computer Application</w:t>
            </w:r>
          </w:p>
        </w:tc>
        <w:tc>
          <w:tcPr>
            <w:tcW w:w="558" w:type="dxa"/>
            <w:vAlign w:val="center"/>
          </w:tcPr>
          <w:p w14:paraId="0623745D" w14:textId="77777777" w:rsidR="00633B55" w:rsidRPr="00FD506F" w:rsidRDefault="00633B55" w:rsidP="00633B55">
            <w:pPr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2</w:t>
            </w:r>
          </w:p>
        </w:tc>
      </w:tr>
      <w:tr w:rsidR="00633B55" w:rsidRPr="00FD506F" w14:paraId="6E665BF0" w14:textId="77777777" w:rsidTr="00FA6D19">
        <w:trPr>
          <w:trHeight w:val="454"/>
        </w:trPr>
        <w:tc>
          <w:tcPr>
            <w:tcW w:w="1152" w:type="dxa"/>
            <w:vAlign w:val="center"/>
          </w:tcPr>
          <w:p w14:paraId="736FFB80" w14:textId="77777777" w:rsidR="00633B55" w:rsidRPr="00FD506F" w:rsidRDefault="00633B55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2</w:t>
            </w:r>
          </w:p>
        </w:tc>
        <w:tc>
          <w:tcPr>
            <w:tcW w:w="1971" w:type="dxa"/>
            <w:vAlign w:val="center"/>
          </w:tcPr>
          <w:p w14:paraId="2A1047C0" w14:textId="77777777" w:rsidR="00633B55" w:rsidRPr="00FD506F" w:rsidRDefault="00A24B64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4</w:t>
            </w:r>
          </w:p>
        </w:tc>
        <w:tc>
          <w:tcPr>
            <w:tcW w:w="1114" w:type="dxa"/>
            <w:vAlign w:val="center"/>
          </w:tcPr>
          <w:p w14:paraId="4D9D5A1B" w14:textId="77777777" w:rsidR="00633B55" w:rsidRPr="00FD506F" w:rsidRDefault="00A24B64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1</w:t>
            </w:r>
          </w:p>
        </w:tc>
        <w:tc>
          <w:tcPr>
            <w:tcW w:w="3769" w:type="dxa"/>
            <w:vAlign w:val="center"/>
          </w:tcPr>
          <w:p w14:paraId="289690FB" w14:textId="77777777" w:rsidR="00633B55" w:rsidRPr="00FD506F" w:rsidRDefault="00FA6D19" w:rsidP="00633B55">
            <w:pPr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Construction Materials</w:t>
            </w:r>
          </w:p>
        </w:tc>
        <w:tc>
          <w:tcPr>
            <w:tcW w:w="558" w:type="dxa"/>
            <w:vAlign w:val="center"/>
          </w:tcPr>
          <w:p w14:paraId="3344B87D" w14:textId="77777777" w:rsidR="00633B55" w:rsidRPr="00FD506F" w:rsidRDefault="00633B55" w:rsidP="00633B55">
            <w:pPr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3</w:t>
            </w:r>
          </w:p>
        </w:tc>
      </w:tr>
      <w:tr w:rsidR="00633B55" w:rsidRPr="00FD506F" w14:paraId="65BF272F" w14:textId="77777777" w:rsidTr="00FA6D19">
        <w:trPr>
          <w:trHeight w:val="454"/>
        </w:trPr>
        <w:tc>
          <w:tcPr>
            <w:tcW w:w="1152" w:type="dxa"/>
            <w:vAlign w:val="center"/>
          </w:tcPr>
          <w:p w14:paraId="67E1FFCB" w14:textId="77777777" w:rsidR="00633B55" w:rsidRPr="00FD506F" w:rsidRDefault="00633B55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1</w:t>
            </w:r>
          </w:p>
        </w:tc>
        <w:tc>
          <w:tcPr>
            <w:tcW w:w="1971" w:type="dxa"/>
            <w:vAlign w:val="center"/>
          </w:tcPr>
          <w:p w14:paraId="641F0774" w14:textId="77777777" w:rsidR="00633B55" w:rsidRPr="00FD506F" w:rsidRDefault="00A24B64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5</w:t>
            </w:r>
          </w:p>
        </w:tc>
        <w:tc>
          <w:tcPr>
            <w:tcW w:w="1114" w:type="dxa"/>
            <w:vAlign w:val="center"/>
          </w:tcPr>
          <w:p w14:paraId="156DDEE2" w14:textId="77777777" w:rsidR="00633B55" w:rsidRPr="00FD506F" w:rsidRDefault="00A24B64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2</w:t>
            </w:r>
          </w:p>
        </w:tc>
        <w:tc>
          <w:tcPr>
            <w:tcW w:w="3769" w:type="dxa"/>
            <w:vAlign w:val="center"/>
          </w:tcPr>
          <w:p w14:paraId="330C539A" w14:textId="77777777" w:rsidR="00633B55" w:rsidRPr="00FD506F" w:rsidRDefault="00FA6D19" w:rsidP="00633B55">
            <w:pPr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Concrete Technology</w:t>
            </w:r>
          </w:p>
        </w:tc>
        <w:tc>
          <w:tcPr>
            <w:tcW w:w="558" w:type="dxa"/>
            <w:vAlign w:val="center"/>
          </w:tcPr>
          <w:p w14:paraId="7AF00A11" w14:textId="77777777" w:rsidR="00633B55" w:rsidRPr="00FD506F" w:rsidRDefault="00633B55" w:rsidP="00633B55">
            <w:pPr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4</w:t>
            </w:r>
          </w:p>
        </w:tc>
      </w:tr>
      <w:tr w:rsidR="00633B55" w:rsidRPr="00FD506F" w14:paraId="003BAC81" w14:textId="77777777" w:rsidTr="00FA6D19">
        <w:trPr>
          <w:trHeight w:val="454"/>
        </w:trPr>
        <w:tc>
          <w:tcPr>
            <w:tcW w:w="1152" w:type="dxa"/>
            <w:vAlign w:val="center"/>
          </w:tcPr>
          <w:p w14:paraId="714F1D66" w14:textId="77777777" w:rsidR="00633B55" w:rsidRPr="00FD506F" w:rsidRDefault="00FA6D19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2</w:t>
            </w:r>
          </w:p>
        </w:tc>
        <w:tc>
          <w:tcPr>
            <w:tcW w:w="1971" w:type="dxa"/>
            <w:vAlign w:val="center"/>
          </w:tcPr>
          <w:p w14:paraId="0327BE68" w14:textId="77777777" w:rsidR="00633B55" w:rsidRPr="00FD506F" w:rsidRDefault="00633B55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2</w:t>
            </w:r>
          </w:p>
        </w:tc>
        <w:tc>
          <w:tcPr>
            <w:tcW w:w="1114" w:type="dxa"/>
            <w:vAlign w:val="center"/>
          </w:tcPr>
          <w:p w14:paraId="26C04212" w14:textId="77777777" w:rsidR="00633B55" w:rsidRPr="00FD506F" w:rsidRDefault="00633B55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3</w:t>
            </w:r>
          </w:p>
        </w:tc>
        <w:tc>
          <w:tcPr>
            <w:tcW w:w="3769" w:type="dxa"/>
            <w:vAlign w:val="center"/>
          </w:tcPr>
          <w:p w14:paraId="38B37F6A" w14:textId="77777777" w:rsidR="00633B55" w:rsidRPr="00FD506F" w:rsidRDefault="00FA6D19" w:rsidP="00633B55">
            <w:pPr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Advanced Engineering Computer Application-II (ETABS)</w:t>
            </w:r>
          </w:p>
        </w:tc>
        <w:tc>
          <w:tcPr>
            <w:tcW w:w="558" w:type="dxa"/>
            <w:vAlign w:val="center"/>
          </w:tcPr>
          <w:p w14:paraId="592BCBF0" w14:textId="77777777" w:rsidR="00633B55" w:rsidRPr="00FD506F" w:rsidRDefault="00633B55" w:rsidP="00633B55">
            <w:pPr>
              <w:rPr>
                <w:rFonts w:ascii="Noto Naskh Arabic UI" w:hAnsi="Noto Naskh Arabic UI" w:cs="Noto Naskh Arabic UI"/>
                <w:sz w:val="30"/>
                <w:szCs w:val="30"/>
                <w:rtl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5</w:t>
            </w:r>
          </w:p>
        </w:tc>
      </w:tr>
      <w:tr w:rsidR="00A24B64" w:rsidRPr="00FD506F" w14:paraId="309238D2" w14:textId="77777777" w:rsidTr="00FA6D19">
        <w:trPr>
          <w:trHeight w:val="454"/>
        </w:trPr>
        <w:tc>
          <w:tcPr>
            <w:tcW w:w="1152" w:type="dxa"/>
            <w:vAlign w:val="center"/>
          </w:tcPr>
          <w:p w14:paraId="0C557D13" w14:textId="77777777" w:rsidR="00A24B64" w:rsidRPr="00FD506F" w:rsidRDefault="00A24B64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1 &amp; 2</w:t>
            </w:r>
          </w:p>
        </w:tc>
        <w:tc>
          <w:tcPr>
            <w:tcW w:w="1971" w:type="dxa"/>
            <w:vAlign w:val="center"/>
          </w:tcPr>
          <w:p w14:paraId="46ABFBD3" w14:textId="77777777" w:rsidR="00A24B64" w:rsidRPr="00FD506F" w:rsidRDefault="00A24B64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2</w:t>
            </w:r>
          </w:p>
        </w:tc>
        <w:tc>
          <w:tcPr>
            <w:tcW w:w="1114" w:type="dxa"/>
            <w:vAlign w:val="center"/>
          </w:tcPr>
          <w:p w14:paraId="4EE89F2A" w14:textId="77777777" w:rsidR="00A24B64" w:rsidRPr="00FD506F" w:rsidRDefault="00A24B64" w:rsidP="00633B55">
            <w:pPr>
              <w:jc w:val="center"/>
              <w:rPr>
                <w:rFonts w:ascii="Noto Naskh Arabic UI" w:hAnsi="Noto Naskh Arabic UI" w:cs="Noto Naskh Arabic UI"/>
                <w:sz w:val="30"/>
                <w:szCs w:val="30"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4</w:t>
            </w:r>
          </w:p>
        </w:tc>
        <w:tc>
          <w:tcPr>
            <w:tcW w:w="3769" w:type="dxa"/>
            <w:vAlign w:val="center"/>
          </w:tcPr>
          <w:p w14:paraId="4D2EF0CA" w14:textId="77777777" w:rsidR="00A24B64" w:rsidRPr="00FD506F" w:rsidRDefault="00A24B64" w:rsidP="00633B55">
            <w:pPr>
              <w:rPr>
                <w:rFonts w:ascii="Noto Naskh Arabic UI" w:hAnsi="Noto Naskh Arabic UI" w:cs="Noto Naskh Arabic UI"/>
                <w:sz w:val="30"/>
                <w:szCs w:val="30"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Civil Drawing</w:t>
            </w:r>
          </w:p>
        </w:tc>
        <w:tc>
          <w:tcPr>
            <w:tcW w:w="558" w:type="dxa"/>
            <w:vAlign w:val="center"/>
          </w:tcPr>
          <w:p w14:paraId="1CD849C1" w14:textId="77777777" w:rsidR="00A24B64" w:rsidRPr="00FD506F" w:rsidRDefault="00A24B64" w:rsidP="00633B55">
            <w:pPr>
              <w:rPr>
                <w:rFonts w:ascii="Noto Naskh Arabic UI" w:hAnsi="Noto Naskh Arabic UI" w:cs="Noto Naskh Arabic UI"/>
                <w:sz w:val="30"/>
                <w:szCs w:val="30"/>
              </w:rPr>
            </w:pPr>
            <w:r w:rsidRPr="00FD506F">
              <w:rPr>
                <w:rFonts w:ascii="Noto Naskh Arabic UI" w:hAnsi="Noto Naskh Arabic UI" w:cs="Noto Naskh Arabic UI"/>
                <w:sz w:val="30"/>
                <w:szCs w:val="30"/>
              </w:rPr>
              <w:t>6</w:t>
            </w:r>
          </w:p>
        </w:tc>
      </w:tr>
    </w:tbl>
    <w:p w14:paraId="749AA39B" w14:textId="77777777" w:rsidR="00C73686" w:rsidRPr="00FD506F" w:rsidRDefault="00C73686" w:rsidP="00C73686">
      <w:pPr>
        <w:bidi/>
        <w:rPr>
          <w:rFonts w:ascii="Noto Naskh Arabic UI" w:hAnsi="Noto Naskh Arabic UI" w:cs="Noto Naskh Arabic UI"/>
          <w:sz w:val="28"/>
          <w:szCs w:val="28"/>
        </w:rPr>
      </w:pPr>
    </w:p>
    <w:p w14:paraId="6B8370E9" w14:textId="77777777" w:rsidR="00C73686" w:rsidRPr="00FD506F" w:rsidRDefault="000E0FFC" w:rsidP="00C73686">
      <w:pPr>
        <w:bidi/>
        <w:rPr>
          <w:rFonts w:ascii="Noto Naskh Arabic UI" w:hAnsi="Noto Naskh Arabic UI" w:cs="Noto Naskh Arabic UI"/>
          <w:sz w:val="28"/>
          <w:szCs w:val="28"/>
          <w:rtl/>
        </w:rPr>
      </w:pPr>
      <w:r w:rsidRPr="00FD506F">
        <w:rPr>
          <w:rFonts w:ascii="Noto Naskh Arabic UI" w:hAnsi="Noto Naskh Arabic UI" w:cs="Noto Naskh Arabic UI"/>
          <w:sz w:val="28"/>
          <w:szCs w:val="28"/>
          <w:rtl/>
        </w:rPr>
        <w:t>تێبینی بۆ</w:t>
      </w:r>
      <w:r w:rsidR="00C73686" w:rsidRPr="00FD506F">
        <w:rPr>
          <w:rFonts w:ascii="Noto Naskh Arabic UI" w:hAnsi="Noto Naskh Arabic UI" w:cs="Noto Naskh Arabic UI"/>
          <w:sz w:val="28"/>
          <w:szCs w:val="28"/>
          <w:rtl/>
        </w:rPr>
        <w:t xml:space="preserve"> پێشکەشکردنی داواکاری</w:t>
      </w:r>
      <w:r w:rsidR="00C73686" w:rsidRPr="00FD506F">
        <w:rPr>
          <w:rFonts w:ascii="Noto Naskh Arabic UI" w:hAnsi="Noto Naskh Arabic UI" w:cs="Noto Naskh Arabic UI"/>
          <w:sz w:val="28"/>
          <w:szCs w:val="28"/>
        </w:rPr>
        <w:t xml:space="preserve"> :</w:t>
      </w:r>
    </w:p>
    <w:p w14:paraId="2C8F815F" w14:textId="77777777" w:rsidR="00C51419" w:rsidRPr="00FD506F" w:rsidRDefault="00C51419" w:rsidP="00FA6D19">
      <w:pPr>
        <w:bidi/>
        <w:rPr>
          <w:rFonts w:ascii="Noto Naskh Arabic UI" w:hAnsi="Noto Naskh Arabic UI" w:cs="Noto Naskh Arabic UI"/>
          <w:sz w:val="28"/>
          <w:szCs w:val="28"/>
        </w:rPr>
      </w:pPr>
      <w:r w:rsidRPr="00FD506F">
        <w:rPr>
          <w:rFonts w:ascii="Noto Naskh Arabic UI" w:hAnsi="Noto Naskh Arabic UI" w:cs="Noto Naskh Arabic UI"/>
          <w:sz w:val="28"/>
          <w:szCs w:val="28"/>
          <w:rtl/>
        </w:rPr>
        <w:t xml:space="preserve">١. ئەم ڕاگەیاندنە </w:t>
      </w:r>
      <w:r w:rsidR="00FA6D19" w:rsidRPr="00FD506F">
        <w:rPr>
          <w:rFonts w:ascii="Noto Naskh Arabic UI" w:hAnsi="Noto Naskh Arabic UI" w:cs="Noto Naskh Arabic UI"/>
          <w:sz w:val="28"/>
          <w:szCs w:val="28"/>
          <w:rtl/>
        </w:rPr>
        <w:t xml:space="preserve">یاریدەدەری توێژەر (معید)ی </w:t>
      </w:r>
      <w:r w:rsidRPr="00FD506F">
        <w:rPr>
          <w:rFonts w:ascii="Noto Naskh Arabic UI" w:hAnsi="Noto Naskh Arabic UI" w:cs="Noto Naskh Arabic UI"/>
          <w:sz w:val="28"/>
          <w:szCs w:val="28"/>
          <w:rtl/>
        </w:rPr>
        <w:t>وانەبێژ و سەردانە،  شایستە داراییەکان بە گوێرەی ڕێنماییە بەرکارەکانی وەزارەتی خوێندنی باڵا خەرج دەکرێت.</w:t>
      </w:r>
    </w:p>
    <w:p w14:paraId="1862F48D" w14:textId="77777777" w:rsidR="00C51419" w:rsidRPr="00FD506F" w:rsidRDefault="00C51419" w:rsidP="00C51419">
      <w:pPr>
        <w:bidi/>
        <w:rPr>
          <w:rFonts w:ascii="Noto Naskh Arabic UI" w:hAnsi="Noto Naskh Arabic UI" w:cs="Noto Naskh Arabic UI"/>
          <w:sz w:val="28"/>
          <w:szCs w:val="28"/>
        </w:rPr>
      </w:pPr>
      <w:r w:rsidRPr="00FD506F">
        <w:rPr>
          <w:rFonts w:ascii="Noto Naskh Arabic UI" w:hAnsi="Noto Naskh Arabic UI" w:cs="Noto Naskh Arabic UI"/>
          <w:sz w:val="28"/>
          <w:szCs w:val="28"/>
          <w:rtl/>
        </w:rPr>
        <w:t>٢. سیڤی ساڵانی ڕابردوو لە بەر چاو ناگیرێت، تەنها کار بەم فۆرمە دەکرێت.</w:t>
      </w:r>
    </w:p>
    <w:p w14:paraId="274C934D" w14:textId="6862D7CA" w:rsidR="00C73686" w:rsidRPr="00FD506F" w:rsidRDefault="00C51419" w:rsidP="00FA6D19">
      <w:pPr>
        <w:bidi/>
        <w:rPr>
          <w:rFonts w:ascii="Noto Naskh Arabic UI" w:hAnsi="Noto Naskh Arabic UI" w:cs="Noto Naskh Arabic UI"/>
          <w:sz w:val="28"/>
          <w:szCs w:val="28"/>
          <w:rtl/>
        </w:rPr>
      </w:pPr>
      <w:r w:rsidRPr="00FD506F">
        <w:rPr>
          <w:rFonts w:ascii="Noto Naskh Arabic UI" w:hAnsi="Noto Naskh Arabic UI" w:cs="Noto Naskh Arabic UI"/>
          <w:sz w:val="28"/>
          <w:szCs w:val="28"/>
          <w:rtl/>
        </w:rPr>
        <w:t>٣. دوا کات بۆ پێشکەش کردنی داواکاری</w:t>
      </w:r>
      <w:r w:rsidR="00FA6D19" w:rsidRPr="00FD506F">
        <w:rPr>
          <w:rFonts w:ascii="Noto Naskh Arabic UI" w:hAnsi="Noto Naskh Arabic UI" w:cs="Noto Naskh Arabic UI"/>
          <w:sz w:val="28"/>
          <w:szCs w:val="28"/>
          <w:rtl/>
        </w:rPr>
        <w:t xml:space="preserve"> ١٧ی تشرینی یەکەم </w:t>
      </w:r>
      <w:r w:rsidRPr="00FD506F">
        <w:rPr>
          <w:rFonts w:ascii="Noto Naskh Arabic UI" w:hAnsi="Noto Naskh Arabic UI" w:cs="Noto Naskh Arabic UI"/>
          <w:sz w:val="28"/>
          <w:szCs w:val="28"/>
          <w:rtl/>
        </w:rPr>
        <w:t>٢٠٢٠</w:t>
      </w:r>
      <w:r w:rsidR="00FA6D19" w:rsidRPr="00FD506F">
        <w:rPr>
          <w:rFonts w:ascii="Noto Naskh Arabic UI" w:hAnsi="Noto Naskh Arabic UI" w:cs="Noto Naskh Arabic UI"/>
          <w:sz w:val="28"/>
          <w:szCs w:val="28"/>
          <w:rtl/>
        </w:rPr>
        <w:t xml:space="preserve"> کاتژمێر ٩ی سەرلەبەیانیە</w:t>
      </w:r>
    </w:p>
    <w:p w14:paraId="3FBBAECA" w14:textId="77777777" w:rsidR="000E0FFC" w:rsidRPr="00FD506F" w:rsidRDefault="000E0FFC" w:rsidP="00FA6D19">
      <w:pPr>
        <w:bidi/>
        <w:rPr>
          <w:rFonts w:ascii="Noto Naskh Arabic UI" w:hAnsi="Noto Naskh Arabic UI" w:cs="Noto Naskh Arabic UI"/>
          <w:sz w:val="28"/>
          <w:szCs w:val="28"/>
        </w:rPr>
      </w:pPr>
      <w:r w:rsidRPr="00FD506F">
        <w:rPr>
          <w:rFonts w:ascii="Noto Naskh Arabic UI" w:hAnsi="Noto Naskh Arabic UI" w:cs="Noto Naskh Arabic UI"/>
          <w:sz w:val="28"/>
          <w:szCs w:val="28"/>
          <w:rtl/>
        </w:rPr>
        <w:t xml:space="preserve">٤. لینکی فۆڕمی پێشکەشکردنی داواکاری </w:t>
      </w:r>
      <w:hyperlink r:id="rId4" w:history="1">
        <w:r w:rsidR="00FA6D19" w:rsidRPr="00FD506F">
          <w:rPr>
            <w:rStyle w:val="Hyperlink"/>
            <w:rFonts w:ascii="Noto Naskh Arabic UI" w:hAnsi="Noto Naskh Arabic UI" w:cs="Noto Naskh Arabic UI"/>
            <w:sz w:val="28"/>
            <w:szCs w:val="28"/>
          </w:rPr>
          <w:t>https://forms.gle/2PD8Etjh43qH4hSu7</w:t>
        </w:r>
      </w:hyperlink>
      <w:r w:rsidR="00FA6D19" w:rsidRPr="00FD506F">
        <w:rPr>
          <w:rFonts w:ascii="Noto Naskh Arabic UI" w:hAnsi="Noto Naskh Arabic UI" w:cs="Noto Naskh Arabic UI"/>
          <w:sz w:val="28"/>
          <w:szCs w:val="28"/>
          <w:rtl/>
        </w:rPr>
        <w:t xml:space="preserve"> </w:t>
      </w:r>
    </w:p>
    <w:p w14:paraId="1E2D4F9B" w14:textId="77777777" w:rsidR="00FA6D19" w:rsidRPr="00FD506F" w:rsidRDefault="00FA6D19" w:rsidP="005001D1">
      <w:pPr>
        <w:bidi/>
        <w:rPr>
          <w:rFonts w:ascii="Noto Naskh Arabic UI" w:hAnsi="Noto Naskh Arabic UI" w:cs="Noto Naskh Arabic UI"/>
          <w:sz w:val="28"/>
          <w:szCs w:val="28"/>
        </w:rPr>
      </w:pPr>
    </w:p>
    <w:p w14:paraId="4B53A714" w14:textId="77777777" w:rsidR="005001D1" w:rsidRPr="00FD506F" w:rsidRDefault="00FA6D19" w:rsidP="00FA6D19">
      <w:pPr>
        <w:tabs>
          <w:tab w:val="left" w:pos="3990"/>
        </w:tabs>
        <w:bidi/>
        <w:rPr>
          <w:rFonts w:ascii="Noto Naskh Arabic UI" w:hAnsi="Noto Naskh Arabic UI" w:cs="Noto Naskh Arabic UI"/>
          <w:sz w:val="28"/>
          <w:szCs w:val="28"/>
        </w:rPr>
      </w:pPr>
      <w:r w:rsidRPr="00FD506F">
        <w:rPr>
          <w:rFonts w:ascii="Noto Naskh Arabic UI" w:hAnsi="Noto Naskh Arabic UI" w:cs="Noto Naskh Arabic UI"/>
          <w:sz w:val="28"/>
          <w:szCs w:val="28"/>
          <w:rtl/>
        </w:rPr>
        <w:tab/>
      </w:r>
    </w:p>
    <w:sectPr w:rsidR="005001D1" w:rsidRPr="00FD50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Naskh Arabic UI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wMbewMDIwtzQxN7VU0lEKTi0uzszPAykwrgUA3s9ekCwAAAA="/>
  </w:docVars>
  <w:rsids>
    <w:rsidRoot w:val="00C73686"/>
    <w:rsid w:val="000E0FFC"/>
    <w:rsid w:val="005001D1"/>
    <w:rsid w:val="00633B55"/>
    <w:rsid w:val="0070046B"/>
    <w:rsid w:val="00894BF9"/>
    <w:rsid w:val="00A24B64"/>
    <w:rsid w:val="00A54AB3"/>
    <w:rsid w:val="00C51419"/>
    <w:rsid w:val="00C73686"/>
    <w:rsid w:val="00FA6D19"/>
    <w:rsid w:val="00FD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EE81"/>
  <w15:chartTrackingRefBased/>
  <w15:docId w15:val="{3BA1CFFF-A93A-4718-91C7-95BE2B9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F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4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8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52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17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3" w:color="DADCE0"/>
                <w:bottom w:val="single" w:sz="6" w:space="18" w:color="DADCE0"/>
                <w:right w:val="single" w:sz="6" w:space="18" w:color="DADCE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2PD8Etjh43qH4hSu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Hasty</dc:creator>
  <cp:keywords/>
  <dc:description/>
  <cp:lastModifiedBy>Araz Ramazan</cp:lastModifiedBy>
  <cp:revision>2</cp:revision>
  <dcterms:created xsi:type="dcterms:W3CDTF">2020-10-11T09:14:00Z</dcterms:created>
  <dcterms:modified xsi:type="dcterms:W3CDTF">2020-10-11T09:14:00Z</dcterms:modified>
</cp:coreProperties>
</file>